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B9" w:rsidRDefault="00102AB9" w:rsidP="00ED7F43">
      <w:pPr>
        <w:rPr>
          <w:rFonts w:cs="Arial"/>
          <w:b/>
        </w:rPr>
      </w:pPr>
      <w:r>
        <w:rPr>
          <w:rFonts w:cs="Arial"/>
          <w:b/>
        </w:rPr>
        <w:t xml:space="preserve">Suggested City </w:t>
      </w:r>
      <w:r w:rsidR="00ED7F43">
        <w:rPr>
          <w:rFonts w:cs="Arial"/>
          <w:b/>
        </w:rPr>
        <w:t xml:space="preserve">Executive </w:t>
      </w:r>
      <w:r>
        <w:rPr>
          <w:rFonts w:cs="Arial"/>
          <w:b/>
        </w:rPr>
        <w:t xml:space="preserve">Board </w:t>
      </w:r>
      <w:r w:rsidR="00ED7F43">
        <w:rPr>
          <w:rFonts w:cs="Arial"/>
          <w:b/>
        </w:rPr>
        <w:t>response</w:t>
      </w:r>
      <w:r w:rsidR="00ED7F43" w:rsidRPr="00DE5736">
        <w:rPr>
          <w:rFonts w:cs="Arial"/>
          <w:b/>
        </w:rPr>
        <w:t xml:space="preserve"> </w:t>
      </w:r>
      <w:r w:rsidR="0034592C">
        <w:rPr>
          <w:rFonts w:cs="Arial"/>
          <w:b/>
        </w:rPr>
        <w:t>to the recommendation</w:t>
      </w:r>
      <w:r>
        <w:rPr>
          <w:rFonts w:cs="Arial"/>
          <w:b/>
        </w:rPr>
        <w:t xml:space="preserve"> of the </w:t>
      </w:r>
      <w:r w:rsidR="00AB53B0">
        <w:rPr>
          <w:rFonts w:cs="Arial"/>
          <w:b/>
        </w:rPr>
        <w:t>Housing Panel</w:t>
      </w:r>
      <w:r>
        <w:rPr>
          <w:rFonts w:cs="Arial"/>
          <w:b/>
        </w:rPr>
        <w:t xml:space="preserve"> on</w:t>
      </w:r>
      <w:r w:rsidR="00461327">
        <w:rPr>
          <w:rFonts w:cs="Arial"/>
          <w:b/>
        </w:rPr>
        <w:t xml:space="preserve"> t</w:t>
      </w:r>
      <w:r w:rsidR="00AB53B0">
        <w:rPr>
          <w:rFonts w:cs="Arial"/>
          <w:b/>
        </w:rPr>
        <w:t>he Draft Housing and Homelessness Strategy 201</w:t>
      </w:r>
      <w:r w:rsidR="00D56C06">
        <w:rPr>
          <w:rFonts w:cs="Arial"/>
          <w:b/>
        </w:rPr>
        <w:t>8-2021</w:t>
      </w:r>
      <w:bookmarkStart w:id="0" w:name="_GoBack"/>
      <w:bookmarkEnd w:id="0"/>
    </w:p>
    <w:p w:rsidR="009C021E" w:rsidRDefault="009C021E" w:rsidP="00ED7F43">
      <w:pPr>
        <w:rPr>
          <w:rFonts w:cs="Arial"/>
          <w:b/>
        </w:rPr>
      </w:pPr>
    </w:p>
    <w:p w:rsidR="0066079B" w:rsidRDefault="00102AB9" w:rsidP="00ED7F43">
      <w:pPr>
        <w:rPr>
          <w:rFonts w:cs="Arial"/>
          <w:b/>
        </w:rPr>
      </w:pPr>
      <w:r>
        <w:rPr>
          <w:rFonts w:cs="Arial"/>
          <w:b/>
        </w:rPr>
        <w:t>P</w:t>
      </w:r>
      <w:r w:rsidR="0081179F">
        <w:rPr>
          <w:rFonts w:cs="Arial"/>
          <w:b/>
        </w:rPr>
        <w:t xml:space="preserve">rovided by the </w:t>
      </w:r>
      <w:r w:rsidR="00AB53B0">
        <w:rPr>
          <w:rFonts w:cs="Arial"/>
          <w:b/>
        </w:rPr>
        <w:t>Board Member for Housing</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276"/>
        <w:gridCol w:w="6378"/>
      </w:tblGrid>
      <w:tr w:rsidR="00290F45" w:rsidRPr="00AC577F" w:rsidTr="00461327">
        <w:tc>
          <w:tcPr>
            <w:tcW w:w="6629"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461327">
            <w:pPr>
              <w:rPr>
                <w:rFonts w:cs="Arial"/>
                <w:b/>
                <w:i/>
              </w:rPr>
            </w:pPr>
            <w:r w:rsidRPr="00AC577F">
              <w:rPr>
                <w:rFonts w:cs="Arial"/>
                <w:b/>
                <w:i/>
              </w:rPr>
              <w:t xml:space="preserve">Agreed? </w:t>
            </w:r>
          </w:p>
        </w:tc>
        <w:tc>
          <w:tcPr>
            <w:tcW w:w="6378"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905A48">
        <w:trPr>
          <w:trHeight w:val="305"/>
        </w:trPr>
        <w:tc>
          <w:tcPr>
            <w:tcW w:w="6629" w:type="dxa"/>
            <w:shd w:val="clear" w:color="auto" w:fill="auto"/>
          </w:tcPr>
          <w:p w:rsidR="0081179F" w:rsidRDefault="00AB53B0" w:rsidP="00461327">
            <w:pPr>
              <w:rPr>
                <w:rFonts w:cs="Arial"/>
              </w:rPr>
            </w:pPr>
            <w:r w:rsidRPr="00AB53B0">
              <w:rPr>
                <w:rFonts w:cs="Arial"/>
              </w:rPr>
              <w:t>That leaflets promoting the consultation are provided to elected members and that paper copies of the survey are also made available to members.</w:t>
            </w:r>
          </w:p>
          <w:p w:rsidR="00AB53B0" w:rsidRPr="00AC577F" w:rsidRDefault="00AB53B0" w:rsidP="00461327">
            <w:pPr>
              <w:rPr>
                <w:rFonts w:cs="Arial"/>
              </w:rPr>
            </w:pPr>
          </w:p>
        </w:tc>
        <w:tc>
          <w:tcPr>
            <w:tcW w:w="1276" w:type="dxa"/>
            <w:shd w:val="clear" w:color="auto" w:fill="auto"/>
          </w:tcPr>
          <w:p w:rsidR="0081179F" w:rsidRPr="00AC577F" w:rsidRDefault="002613D3" w:rsidP="0036312A">
            <w:pPr>
              <w:rPr>
                <w:rFonts w:cs="Arial"/>
              </w:rPr>
            </w:pPr>
            <w:r>
              <w:rPr>
                <w:rFonts w:cs="Arial"/>
              </w:rPr>
              <w:t>Yes</w:t>
            </w:r>
          </w:p>
        </w:tc>
        <w:tc>
          <w:tcPr>
            <w:tcW w:w="6378" w:type="dxa"/>
            <w:shd w:val="clear" w:color="auto" w:fill="auto"/>
          </w:tcPr>
          <w:p w:rsidR="0081179F" w:rsidRPr="00AC577F" w:rsidRDefault="002613D3" w:rsidP="002613D3">
            <w:pPr>
              <w:rPr>
                <w:rFonts w:cs="Arial"/>
              </w:rPr>
            </w:pPr>
            <w:r>
              <w:rPr>
                <w:rFonts w:cs="Arial"/>
              </w:rPr>
              <w:t xml:space="preserve">Publicity leaflets and copies of the survey questionnaire will be provided to Members as requested. </w:t>
            </w:r>
          </w:p>
        </w:tc>
      </w:tr>
      <w:tr w:rsidR="00905A48" w:rsidRPr="00AC577F" w:rsidTr="00905A48">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905A48" w:rsidRDefault="00AB53B0" w:rsidP="003A7AC5">
            <w:pPr>
              <w:rPr>
                <w:rFonts w:cs="Arial"/>
              </w:rPr>
            </w:pPr>
            <w:r w:rsidRPr="00AB53B0">
              <w:rPr>
                <w:rFonts w:cs="Arial"/>
              </w:rPr>
              <w:t>That consideration is given to how the Council engages with rough sleepers and service users on the strategy and other issues that affect them, including the option of forming a ‘service user group’.</w:t>
            </w:r>
          </w:p>
          <w:p w:rsidR="00AB53B0" w:rsidRPr="00AC577F" w:rsidRDefault="00AB53B0" w:rsidP="003A7AC5">
            <w:pP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5A48" w:rsidRPr="00AC577F" w:rsidRDefault="002613D3" w:rsidP="003A7AC5">
            <w:pPr>
              <w:rPr>
                <w:rFonts w:cs="Arial"/>
              </w:rPr>
            </w:pPr>
            <w:r>
              <w:rPr>
                <w:rFonts w:cs="Arial"/>
              </w:rPr>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05A48" w:rsidRPr="00AC577F" w:rsidRDefault="002613D3" w:rsidP="007044FA">
            <w:pPr>
              <w:rPr>
                <w:rFonts w:cs="Arial"/>
              </w:rPr>
            </w:pPr>
            <w:r>
              <w:rPr>
                <w:rFonts w:cs="Arial"/>
              </w:rPr>
              <w:t xml:space="preserve">Consideration will be given to how the Council can further engage rough sleepers and service users to consult them on the strategy. </w:t>
            </w:r>
            <w:r w:rsidR="003A4AE9">
              <w:rPr>
                <w:rFonts w:cs="Arial"/>
              </w:rPr>
              <w:t>The planned consultation activities include public drop-in sessions and stakeholder workshops, both of which provide an opportunity for service users’ opinions to be presented</w:t>
            </w:r>
            <w:r w:rsidR="00AF6242">
              <w:rPr>
                <w:rFonts w:cs="Arial"/>
              </w:rPr>
              <w:t>.</w:t>
            </w:r>
            <w:r w:rsidR="003A4AE9">
              <w:rPr>
                <w:rFonts w:cs="Arial"/>
              </w:rPr>
              <w:t xml:space="preserve"> </w:t>
            </w:r>
            <w:r w:rsidR="00AF6242">
              <w:rPr>
                <w:rFonts w:cs="Arial"/>
              </w:rPr>
              <w:t xml:space="preserve">Existing networks with service users and support providers </w:t>
            </w:r>
            <w:r w:rsidR="007044FA">
              <w:rPr>
                <w:rFonts w:cs="Arial"/>
              </w:rPr>
              <w:t>can</w:t>
            </w:r>
            <w:r w:rsidR="00AF6242">
              <w:rPr>
                <w:rFonts w:cs="Arial"/>
              </w:rPr>
              <w:t xml:space="preserve"> help to promote the strategy consultation. </w:t>
            </w:r>
            <w:r w:rsidR="007044FA">
              <w:rPr>
                <w:rFonts w:cs="Arial"/>
              </w:rPr>
              <w:t>Any</w:t>
            </w:r>
            <w:r w:rsidR="00AF6242">
              <w:rPr>
                <w:rFonts w:cs="Arial"/>
              </w:rPr>
              <w:t xml:space="preserve"> </w:t>
            </w:r>
            <w:r w:rsidR="003A4AE9">
              <w:rPr>
                <w:rFonts w:cs="Arial"/>
              </w:rPr>
              <w:t>formal ‘service user group</w:t>
            </w:r>
            <w:r w:rsidR="00AF6242">
              <w:rPr>
                <w:rFonts w:cs="Arial"/>
              </w:rPr>
              <w:t xml:space="preserve">’ will require the ongoing support </w:t>
            </w:r>
            <w:r w:rsidR="003A4AE9">
              <w:rPr>
                <w:rFonts w:cs="Arial"/>
              </w:rPr>
              <w:t>of voluntary and co</w:t>
            </w:r>
            <w:r w:rsidR="00AF6242">
              <w:rPr>
                <w:rFonts w:cs="Arial"/>
              </w:rPr>
              <w:t xml:space="preserve">mmunity sector organisations.  </w:t>
            </w:r>
          </w:p>
        </w:tc>
      </w:tr>
      <w:tr w:rsidR="00905A48" w:rsidRPr="00905A48" w:rsidTr="003A7AC5">
        <w:trPr>
          <w:trHeight w:val="305"/>
        </w:trPr>
        <w:tc>
          <w:tcPr>
            <w:tcW w:w="6629" w:type="dxa"/>
            <w:shd w:val="clear" w:color="auto" w:fill="auto"/>
          </w:tcPr>
          <w:p w:rsidR="00905A48" w:rsidRPr="00905A48" w:rsidRDefault="00AB53B0" w:rsidP="00905A48">
            <w:r w:rsidRPr="00AB53B0">
              <w:t>That as part of Empty Homes Week the Council promotes the issue of empty homes and its online reporting tool.</w:t>
            </w:r>
            <w:r w:rsidR="00905A48" w:rsidRPr="00905A48">
              <w:tab/>
            </w:r>
            <w:r w:rsidR="00905A48" w:rsidRPr="00905A48">
              <w:tab/>
            </w:r>
          </w:p>
        </w:tc>
        <w:tc>
          <w:tcPr>
            <w:tcW w:w="1276" w:type="dxa"/>
            <w:shd w:val="clear" w:color="auto" w:fill="auto"/>
          </w:tcPr>
          <w:p w:rsidR="00905A48" w:rsidRPr="00905A48" w:rsidRDefault="007044FA" w:rsidP="00905A48">
            <w:r>
              <w:t>Yes</w:t>
            </w:r>
          </w:p>
        </w:tc>
        <w:tc>
          <w:tcPr>
            <w:tcW w:w="6378" w:type="dxa"/>
            <w:shd w:val="clear" w:color="auto" w:fill="auto"/>
          </w:tcPr>
          <w:p w:rsidR="00905A48" w:rsidRPr="00905A48" w:rsidRDefault="007044FA" w:rsidP="007044FA">
            <w:r>
              <w:t xml:space="preserve">The Council will be promoting the issue of empty homes and its online reporting tool as part of the National Empty Homes Week which will run from 16 October to 22 October 2017. </w:t>
            </w:r>
          </w:p>
        </w:tc>
      </w:tr>
      <w:tr w:rsidR="00905A48" w:rsidRPr="00905A48" w:rsidTr="003A7AC5">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AB53B0" w:rsidRDefault="00AB53B0" w:rsidP="00AB53B0">
            <w:r>
              <w:t>That the final documentation should include:</w:t>
            </w:r>
          </w:p>
          <w:p w:rsidR="00AB53B0" w:rsidRDefault="00AB53B0" w:rsidP="00AB53B0">
            <w:r>
              <w:t xml:space="preserve">a) Some explanation in the evidence base as to why 13 Council-owned dwellings were long-term empty as of 1 April 2017.  </w:t>
            </w:r>
          </w:p>
          <w:p w:rsidR="00AB53B0" w:rsidRDefault="00AB53B0" w:rsidP="00AB53B0">
            <w:r>
              <w:t>b) Some recognition that combining the three strategies and holding one consultation saved officer time and some costs.</w:t>
            </w:r>
          </w:p>
          <w:p w:rsidR="00905A48" w:rsidRDefault="00AB53B0" w:rsidP="00AB53B0">
            <w:r>
              <w:t xml:space="preserve">c) Some mention of learning points from the previous strategies as well as successes.  </w:t>
            </w:r>
          </w:p>
          <w:p w:rsidR="00AB53B0" w:rsidRPr="00905A48" w:rsidRDefault="00AB53B0" w:rsidP="00AB53B0"/>
        </w:tc>
        <w:tc>
          <w:tcPr>
            <w:tcW w:w="1276" w:type="dxa"/>
            <w:tcBorders>
              <w:top w:val="single" w:sz="4" w:space="0" w:color="auto"/>
              <w:left w:val="single" w:sz="4" w:space="0" w:color="auto"/>
              <w:bottom w:val="single" w:sz="4" w:space="0" w:color="auto"/>
              <w:right w:val="single" w:sz="4" w:space="0" w:color="auto"/>
            </w:tcBorders>
            <w:shd w:val="clear" w:color="auto" w:fill="auto"/>
          </w:tcPr>
          <w:p w:rsidR="00905A48" w:rsidRPr="00905A48" w:rsidRDefault="007044FA" w:rsidP="00905A48">
            <w:r>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05A48" w:rsidRPr="00905A48" w:rsidRDefault="007044FA" w:rsidP="007044FA">
            <w:r>
              <w:t xml:space="preserve">Amendments to the final strategy will include these points. </w:t>
            </w:r>
          </w:p>
        </w:tc>
      </w:tr>
    </w:tbl>
    <w:p w:rsidR="008A22C6" w:rsidRPr="008A22C6" w:rsidRDefault="008A22C6" w:rsidP="00461327"/>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02AB9"/>
    <w:rsid w:val="0011346E"/>
    <w:rsid w:val="001859B0"/>
    <w:rsid w:val="002613D3"/>
    <w:rsid w:val="00290F45"/>
    <w:rsid w:val="003236B3"/>
    <w:rsid w:val="0034054D"/>
    <w:rsid w:val="0034592C"/>
    <w:rsid w:val="003A4AE9"/>
    <w:rsid w:val="004000D7"/>
    <w:rsid w:val="00461327"/>
    <w:rsid w:val="00504E43"/>
    <w:rsid w:val="00612FE5"/>
    <w:rsid w:val="0066079B"/>
    <w:rsid w:val="007044FA"/>
    <w:rsid w:val="007908F4"/>
    <w:rsid w:val="0081179F"/>
    <w:rsid w:val="00875779"/>
    <w:rsid w:val="008A22C6"/>
    <w:rsid w:val="00905A48"/>
    <w:rsid w:val="009C021E"/>
    <w:rsid w:val="00AB53B0"/>
    <w:rsid w:val="00AF6242"/>
    <w:rsid w:val="00B7537D"/>
    <w:rsid w:val="00C07F80"/>
    <w:rsid w:val="00C32C6A"/>
    <w:rsid w:val="00D53686"/>
    <w:rsid w:val="00D56C06"/>
    <w:rsid w:val="00D67D56"/>
    <w:rsid w:val="00E234D4"/>
    <w:rsid w:val="00ED7F43"/>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5FD1E-AFBC-408F-83D5-321A475A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3</cp:revision>
  <dcterms:created xsi:type="dcterms:W3CDTF">2017-09-18T14:25:00Z</dcterms:created>
  <dcterms:modified xsi:type="dcterms:W3CDTF">2017-09-18T14:25:00Z</dcterms:modified>
</cp:coreProperties>
</file>